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jc w:val="right"/>
        <w:tblInd w:w="-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  <w:gridCol w:w="3533"/>
        <w:gridCol w:w="748"/>
      </w:tblGrid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F61D34" w:rsidP="00B449BC">
            <w:pPr>
              <w:pStyle w:val="ps1Cha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ادارة المشاريع السياحية الصغيرة</w:t>
            </w:r>
            <w:r w:rsidR="00E979F9" w:rsidRPr="005D2E73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1CAD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F61D34" w:rsidP="00F61D34">
            <w:pPr>
              <w:pStyle w:val="ps1Ch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2603427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1CAD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  <w:rtl/>
                <w:lang w:val="en-US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3 ساعات 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B1CAD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الساعات المعتمدة (نظري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،عملي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748" w:type="dxa"/>
            <w:vMerge w:val="restart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3 ساعات 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80C02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الساعات الفعلية (نظري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، عملي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748" w:type="dxa"/>
            <w:vMerge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54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B73160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ات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ة</w:t>
            </w:r>
            <w:r w:rsidR="00797D4D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المتطلب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ات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بكالوريوس في الإدارة السياحية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515C46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03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515C46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الجامعة الإردنية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كلية الآثار والسياحة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قسم الإدارة السياحية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99"/>
          <w:jc w:val="right"/>
        </w:trPr>
        <w:tc>
          <w:tcPr>
            <w:tcW w:w="5670" w:type="dxa"/>
          </w:tcPr>
          <w:p w:rsidR="009B1CAD" w:rsidRPr="005D2E73" w:rsidRDefault="007637BC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متطلب جامعة</w:t>
            </w:r>
            <w:r w:rsidR="00373DBE" w:rsidRPr="005D2E73">
              <w:rPr>
                <w:sz w:val="22"/>
                <w:szCs w:val="22"/>
              </w:rPr>
              <w:t xml:space="preserve"> </w:t>
            </w:r>
            <w:r w:rsidR="00373DBE" w:rsidRPr="005D2E73">
              <w:rPr>
                <w:sz w:val="22"/>
                <w:szCs w:val="22"/>
                <w:rtl/>
              </w:rPr>
              <w:t>اختياري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الفصل الأول و/أو الثاني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B6B0A" w:rsidP="005D2E73">
            <w:pPr>
              <w:tabs>
                <w:tab w:val="left" w:pos="900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B83070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Del="000E10C1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Default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99"/>
          <w:jc w:val="right"/>
        </w:trPr>
        <w:tc>
          <w:tcPr>
            <w:tcW w:w="5670" w:type="dxa"/>
            <w:vAlign w:val="center"/>
          </w:tcPr>
          <w:p w:rsidR="009B1CAD" w:rsidRPr="005D2E73" w:rsidRDefault="00223A00" w:rsidP="00F61D34">
            <w:pPr>
              <w:pStyle w:val="ps1Char"/>
              <w:rPr>
                <w:rFonts w:hint="cs"/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اللغة </w:t>
            </w:r>
            <w:r w:rsidR="00F61D34">
              <w:rPr>
                <w:rFonts w:hint="cs"/>
                <w:sz w:val="22"/>
                <w:szCs w:val="22"/>
                <w:rtl/>
              </w:rPr>
              <w:t>الانجليزية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B449BC" w:rsidP="005D2E73">
            <w:pPr>
              <w:spacing w:line="276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2014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</w:tbl>
    <w:p w:rsidR="004B5C8D" w:rsidRPr="005D2E73" w:rsidRDefault="004B5C8D" w:rsidP="005D2E73">
      <w:pPr>
        <w:pStyle w:val="ps1Char"/>
        <w:rPr>
          <w:b/>
          <w:bCs/>
          <w:sz w:val="22"/>
          <w:szCs w:val="22"/>
          <w:rtl/>
        </w:rPr>
      </w:pPr>
      <w:r w:rsidRPr="005D2E73">
        <w:rPr>
          <w:b/>
          <w:bCs/>
          <w:sz w:val="22"/>
          <w:szCs w:val="22"/>
          <w:rtl/>
        </w:rPr>
        <w:t>16</w:t>
      </w:r>
      <w:r w:rsidR="00BE1A4D" w:rsidRPr="005D2E73">
        <w:rPr>
          <w:b/>
          <w:bCs/>
          <w:sz w:val="22"/>
          <w:szCs w:val="22"/>
        </w:rPr>
        <w:t>.</w:t>
      </w:r>
      <w:r w:rsidRPr="005D2E73">
        <w:rPr>
          <w:b/>
          <w:bCs/>
          <w:sz w:val="22"/>
          <w:szCs w:val="22"/>
          <w:rtl/>
        </w:rPr>
        <w:t xml:space="preserve"> منسّق المادة</w:t>
      </w:r>
    </w:p>
    <w:tbl>
      <w:tblPr>
        <w:tblW w:w="9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B143AC" w:rsidRPr="005D2E73" w:rsidTr="00793BB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990" w:type="dxa"/>
          </w:tcPr>
          <w:p w:rsidR="004C39CD" w:rsidRPr="005D2E73" w:rsidRDefault="009B2B5E" w:rsidP="00B449BC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د. </w:t>
            </w:r>
            <w:r w:rsidR="00B449BC">
              <w:rPr>
                <w:rFonts w:hint="cs"/>
                <w:sz w:val="22"/>
                <w:szCs w:val="22"/>
                <w:rtl/>
              </w:rPr>
              <w:t>اسماعيل ابوعامود</w:t>
            </w:r>
            <w:r w:rsidRPr="005D2E73">
              <w:rPr>
                <w:sz w:val="22"/>
                <w:szCs w:val="22"/>
                <w:rtl/>
              </w:rPr>
              <w:t xml:space="preserve"> </w:t>
            </w:r>
          </w:p>
          <w:p w:rsidR="009B2B5E" w:rsidRPr="005D2E73" w:rsidRDefault="009B2B5E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قسم الإدارة السياحية/ كلية الآثار والسياح</w:t>
            </w:r>
            <w:r w:rsidR="00870205" w:rsidRPr="005D2E73">
              <w:rPr>
                <w:sz w:val="22"/>
                <w:szCs w:val="22"/>
                <w:rtl/>
              </w:rPr>
              <w:t>ة.</w:t>
            </w:r>
          </w:p>
          <w:p w:rsidR="00870205" w:rsidRPr="005D2E73" w:rsidRDefault="00870205" w:rsidP="00B449BC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البريد الإلكتروني: </w:t>
            </w:r>
            <w:hyperlink r:id="rId13" w:history="1">
              <w:r w:rsidR="00B449BC" w:rsidRPr="00DB5733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en-US"/>
                </w:rPr>
                <w:t>i.abuamoud@ju.edu.jo</w:t>
              </w:r>
            </w:hyperlink>
            <w:r w:rsidR="00B449BC" w:rsidRPr="00DB5733">
              <w:rPr>
                <w:lang w:val="en-US"/>
              </w:rPr>
              <w:t xml:space="preserve"> </w:t>
            </w:r>
            <w:hyperlink r:id="rId14" w:history="1"/>
          </w:p>
          <w:p w:rsidR="009B2B5E" w:rsidRPr="005D2E73" w:rsidRDefault="00870205" w:rsidP="00B449BC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رقم الهاتف: </w:t>
            </w:r>
            <w:r w:rsidRPr="005D2E73">
              <w:rPr>
                <w:sz w:val="22"/>
                <w:szCs w:val="22"/>
              </w:rPr>
              <w:t>00962-6-53555000 (ext.2503</w:t>
            </w:r>
            <w:r w:rsidR="00B449BC">
              <w:rPr>
                <w:sz w:val="22"/>
                <w:szCs w:val="22"/>
              </w:rPr>
              <w:t>0</w:t>
            </w:r>
            <w:r w:rsidRPr="005D2E73">
              <w:rPr>
                <w:sz w:val="22"/>
                <w:szCs w:val="22"/>
              </w:rPr>
              <w:t>)</w:t>
            </w:r>
          </w:p>
        </w:tc>
      </w:tr>
    </w:tbl>
    <w:p w:rsidR="00695379" w:rsidRPr="005D2E73" w:rsidRDefault="00695379" w:rsidP="005D2E73">
      <w:pPr>
        <w:pStyle w:val="ps2"/>
        <w:bidi/>
        <w:spacing w:before="120" w:after="120" w:line="276" w:lineRule="auto"/>
        <w:rPr>
          <w:rFonts w:ascii="Cambria" w:hAnsi="Cambria"/>
          <w:sz w:val="22"/>
          <w:szCs w:val="22"/>
        </w:rPr>
      </w:pPr>
      <w:r w:rsidRPr="005D2E73">
        <w:rPr>
          <w:rFonts w:ascii="Cambria" w:hAnsi="Cambria" w:hint="cs"/>
          <w:sz w:val="22"/>
          <w:szCs w:val="22"/>
          <w:rtl/>
        </w:rPr>
        <w:t>17</w:t>
      </w:r>
      <w:r w:rsidRPr="005D2E73">
        <w:rPr>
          <w:rFonts w:ascii="Cambria" w:hAnsi="Cambria"/>
          <w:sz w:val="22"/>
          <w:szCs w:val="22"/>
        </w:rPr>
        <w:t>.</w:t>
      </w:r>
      <w:r w:rsidRPr="005D2E73">
        <w:rPr>
          <w:rFonts w:ascii="Cambria" w:hAnsi="Cambria" w:hint="cs"/>
          <w:sz w:val="22"/>
          <w:szCs w:val="22"/>
          <w:rtl/>
        </w:rPr>
        <w:t xml:space="preserve"> مدرسو المادة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9310E1" w:rsidRPr="005D2E73" w:rsidTr="00114E3C">
        <w:trPr>
          <w:trHeight w:val="7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6" w:rsidRPr="005D2E73" w:rsidRDefault="000E3706" w:rsidP="005D2E73">
            <w:pPr>
              <w:pStyle w:val="ps1Char"/>
              <w:spacing w:line="240" w:lineRule="auto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د. أسماعيل أبو عامود (البريد الإلكتروني: </w:t>
            </w:r>
            <w:r w:rsidRPr="005D2E73">
              <w:rPr>
                <w:sz w:val="22"/>
                <w:szCs w:val="22"/>
              </w:rPr>
              <w:t>(I.Abuamoud@ju.edu.jo</w:t>
            </w:r>
          </w:p>
          <w:p w:rsidR="000E3706" w:rsidRPr="005D2E73" w:rsidRDefault="000E3706" w:rsidP="005D2E73">
            <w:pPr>
              <w:pStyle w:val="ps1Char"/>
              <w:spacing w:line="240" w:lineRule="auto"/>
              <w:rPr>
                <w:sz w:val="22"/>
                <w:szCs w:val="22"/>
                <w:rtl/>
              </w:rPr>
            </w:pPr>
          </w:p>
        </w:tc>
      </w:tr>
    </w:tbl>
    <w:p w:rsidR="00A7356F" w:rsidRPr="005D2E73" w:rsidRDefault="00A7356F" w:rsidP="005D2E73">
      <w:pPr>
        <w:pStyle w:val="Heading7"/>
        <w:bidi/>
        <w:spacing w:line="276" w:lineRule="auto"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F50625" w:rsidRPr="005D2E73" w:rsidRDefault="009824CD" w:rsidP="005D2E73">
      <w:pPr>
        <w:pStyle w:val="Heading7"/>
        <w:bidi/>
        <w:spacing w:line="276" w:lineRule="auto"/>
        <w:rPr>
          <w:rFonts w:ascii="Cambria" w:hAnsi="Cambria" w:cs="Arial"/>
          <w:b/>
          <w:bCs/>
          <w:sz w:val="22"/>
          <w:szCs w:val="22"/>
          <w:u w:val="none"/>
        </w:rPr>
      </w:pPr>
      <w:r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>18</w:t>
      </w:r>
      <w:r w:rsidR="00BE1A4D" w:rsidRPr="005D2E73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="00E60297"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="00E60297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وصف المادة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F50625" w:rsidRPr="00F61D34" w:rsidTr="00114E3C">
        <w:trPr>
          <w:trHeight w:val="69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D6" w:rsidRPr="00F61D34" w:rsidRDefault="00F61D34" w:rsidP="0054035A">
            <w:pPr>
              <w:bidi/>
              <w:rPr>
                <w:rFonts w:hint="cs"/>
                <w:rtl/>
                <w:lang w:bidi="ar-JO"/>
              </w:rPr>
            </w:pPr>
            <w:r w:rsidRPr="00F61D34">
              <w:rPr>
                <w:rFonts w:hint="cs"/>
                <w:rtl/>
              </w:rPr>
              <w:t xml:space="preserve">إدارة الأعمال الصغيرة في السياحة </w:t>
            </w:r>
            <w:r>
              <w:rPr>
                <w:rFonts w:hint="cs"/>
                <w:rtl/>
              </w:rPr>
              <w:t>هو</w:t>
            </w:r>
            <w:r w:rsidRPr="00F61D3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مساق</w:t>
            </w:r>
            <w:r w:rsidRPr="00F61D34">
              <w:rPr>
                <w:rFonts w:hint="cs"/>
                <w:rtl/>
              </w:rPr>
              <w:t xml:space="preserve"> حول إدارة الأعمال الصغيرة في السياحة لتلبية بيئة الأعمال الحيوية. </w:t>
            </w:r>
            <w:r w:rsidR="0054035A">
              <w:rPr>
                <w:rFonts w:hint="cs"/>
                <w:rtl/>
              </w:rPr>
              <w:t>ي</w:t>
            </w:r>
            <w:r w:rsidRPr="00F61D34">
              <w:rPr>
                <w:rFonts w:hint="cs"/>
                <w:rtl/>
              </w:rPr>
              <w:t>غطي هذ</w:t>
            </w:r>
            <w:r w:rsidR="0054035A">
              <w:rPr>
                <w:rFonts w:hint="cs"/>
                <w:rtl/>
              </w:rPr>
              <w:t>ا</w:t>
            </w:r>
            <w:r w:rsidRPr="00F61D34">
              <w:rPr>
                <w:rFonts w:hint="cs"/>
                <w:rtl/>
              </w:rPr>
              <w:t xml:space="preserve"> </w:t>
            </w:r>
            <w:r w:rsidR="0054035A">
              <w:rPr>
                <w:rFonts w:hint="cs"/>
                <w:rtl/>
              </w:rPr>
              <w:t>المساق</w:t>
            </w:r>
            <w:r w:rsidRPr="00F61D34">
              <w:rPr>
                <w:rFonts w:hint="cs"/>
                <w:rtl/>
              </w:rPr>
              <w:t xml:space="preserve"> موضوعات مثل المفاهيم الأساسية في الإدارة والتخطيط. تحديد الأعمال التجارية الصغيرة ، وريادة الأعمال ، الخطوات الأساسية اللازمة لبدء الأعمال التجارية الصغيرة ، مثل التخطيط والتنظيم والإدارة ، وتحليل الجدوى ، والتمويل ، وإدارة الموارد البشرية ، وبدء أو شراء شركة صغيرة وغيرها من المجالات ذات الصلة. كما يغطي المساق أساسيات المهارات المحاسبية اللازمة لتحليل الاستثمار مثل الموازنة والقيمة الحالية والمستقبلية للنقود والتسويق وكتابة المقترحات ومصادر التمويل.</w:t>
            </w:r>
          </w:p>
        </w:tc>
      </w:tr>
    </w:tbl>
    <w:p w:rsidR="007D76F3" w:rsidRPr="005D2E73" w:rsidRDefault="00C7231C" w:rsidP="005D2E73">
      <w:pPr>
        <w:pStyle w:val="Heading7"/>
        <w:bidi/>
        <w:spacing w:before="240" w:line="276" w:lineRule="auto"/>
        <w:rPr>
          <w:rFonts w:ascii="Cambria" w:hAnsi="Cambria" w:cs="Arial"/>
          <w:b/>
          <w:bCs/>
          <w:sz w:val="22"/>
          <w:szCs w:val="22"/>
          <w:u w:val="none"/>
        </w:rPr>
      </w:pPr>
      <w:r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lastRenderedPageBreak/>
        <w:t>19.</w:t>
      </w:r>
      <w:r w:rsidR="00E64CEE"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="00E64CEE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أهداف </w:t>
      </w:r>
      <w:r w:rsidR="00DE6FD6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تدريس </w:t>
      </w:r>
      <w:r w:rsidR="005225C7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bidiVisual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7"/>
      </w:tblGrid>
      <w:tr w:rsidR="005E72FE" w:rsidRPr="005D2E73" w:rsidTr="00114E3C">
        <w:tc>
          <w:tcPr>
            <w:tcW w:w="10017" w:type="dxa"/>
            <w:shd w:val="clear" w:color="auto" w:fill="auto"/>
          </w:tcPr>
          <w:p w:rsidR="005E72FE" w:rsidRPr="005D2E73" w:rsidRDefault="005E72FE" w:rsidP="005D2E73">
            <w:pPr>
              <w:pStyle w:val="ps1Cha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5D2E73">
              <w:rPr>
                <w:rFonts w:hint="cs"/>
                <w:b/>
                <w:bCs/>
                <w:sz w:val="22"/>
                <w:szCs w:val="22"/>
                <w:rtl/>
              </w:rPr>
              <w:t>أ- الأهداف:</w:t>
            </w:r>
          </w:p>
          <w:p w:rsidR="0054035A" w:rsidRPr="0054035A" w:rsidRDefault="0054035A" w:rsidP="0054035A">
            <w:pPr>
              <w:bidi/>
              <w:rPr>
                <w:rFonts w:hint="cs"/>
                <w:rtl/>
              </w:rPr>
            </w:pPr>
            <w:r w:rsidRPr="0054035A">
              <w:rPr>
                <w:rFonts w:hint="cs"/>
                <w:rtl/>
              </w:rPr>
              <w:t xml:space="preserve">الهدف الرئيسي </w:t>
            </w:r>
            <w:r>
              <w:rPr>
                <w:rFonts w:hint="cs"/>
                <w:rtl/>
              </w:rPr>
              <w:t>لهذا المساق</w:t>
            </w:r>
            <w:r w:rsidRPr="0054035A">
              <w:rPr>
                <w:rFonts w:hint="cs"/>
                <w:rtl/>
              </w:rPr>
              <w:t xml:space="preserve"> هو إعداد الطلاب بالمعرفة الأساسية لبدء أعمال تجارية جديدة</w:t>
            </w:r>
          </w:p>
          <w:p w:rsidR="0054035A" w:rsidRPr="0054035A" w:rsidRDefault="0054035A" w:rsidP="0054035A">
            <w:pPr>
              <w:bidi/>
              <w:rPr>
                <w:rFonts w:hint="cs"/>
                <w:rtl/>
              </w:rPr>
            </w:pPr>
            <w:r w:rsidRPr="0054035A">
              <w:rPr>
                <w:rFonts w:hint="cs"/>
                <w:rtl/>
              </w:rPr>
              <w:t>العثور على المصادر المناسبة لتمويل أعمالهم ، وكتابة خطة عمل فعالة.</w:t>
            </w:r>
          </w:p>
          <w:p w:rsidR="0054035A" w:rsidRPr="0054035A" w:rsidRDefault="0054035A" w:rsidP="0054035A">
            <w:pPr>
              <w:bidi/>
            </w:pPr>
            <w:r w:rsidRPr="0054035A">
              <w:rPr>
                <w:rFonts w:hint="cs"/>
                <w:rtl/>
              </w:rPr>
              <w:t>إعداد الطلاب لتكون قادرة على بدء أعمالهم التجارية بعد التخرج</w:t>
            </w:r>
          </w:p>
          <w:p w:rsidR="002024A0" w:rsidRPr="0054035A" w:rsidRDefault="002024A0" w:rsidP="0054035A">
            <w:pPr>
              <w:bidi/>
            </w:pPr>
          </w:p>
          <w:p w:rsidR="005D2E73" w:rsidRPr="005D2E73" w:rsidRDefault="005D2E73" w:rsidP="005D2E73">
            <w:pPr>
              <w:pStyle w:val="ps1Char"/>
              <w:ind w:left="720"/>
              <w:rPr>
                <w:sz w:val="12"/>
                <w:szCs w:val="12"/>
              </w:rPr>
            </w:pPr>
          </w:p>
          <w:p w:rsidR="005E72FE" w:rsidRPr="005D2E73" w:rsidRDefault="005E72FE" w:rsidP="005D2E73">
            <w:pPr>
              <w:pStyle w:val="ps1Char"/>
              <w:rPr>
                <w:rFonts w:hint="cs"/>
                <w:sz w:val="22"/>
                <w:szCs w:val="22"/>
                <w:rtl/>
              </w:rPr>
            </w:pPr>
            <w:r w:rsidRPr="005D2E73">
              <w:rPr>
                <w:rFonts w:hint="cs"/>
                <w:b/>
                <w:bCs/>
                <w:sz w:val="22"/>
                <w:szCs w:val="22"/>
                <w:rtl/>
              </w:rPr>
              <w:t>ب- - نتاجات التعلّم</w:t>
            </w:r>
            <w:r w:rsidRPr="005D2E73">
              <w:rPr>
                <w:rFonts w:hint="cs"/>
                <w:sz w:val="22"/>
                <w:szCs w:val="22"/>
                <w:rtl/>
              </w:rPr>
              <w:t xml:space="preserve">: يتوقع من الطالب عند انهاء المادة أن يكون قادراً على: </w:t>
            </w:r>
          </w:p>
          <w:p w:rsidR="0054035A" w:rsidRPr="0054035A" w:rsidRDefault="0054035A" w:rsidP="0054035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1. </w:t>
            </w:r>
            <w:r w:rsidRPr="0054035A">
              <w:rPr>
                <w:rFonts w:hint="cs"/>
                <w:rtl/>
              </w:rPr>
              <w:t>فهم المفاهيم الريادية لإدارة الأعمال.</w:t>
            </w:r>
          </w:p>
          <w:p w:rsidR="0054035A" w:rsidRPr="0054035A" w:rsidRDefault="0054035A" w:rsidP="0054035A">
            <w:pPr>
              <w:bidi/>
              <w:rPr>
                <w:rFonts w:hint="cs"/>
                <w:rtl/>
              </w:rPr>
            </w:pPr>
            <w:r w:rsidRPr="0054035A">
              <w:rPr>
                <w:rFonts w:hint="cs"/>
                <w:rtl/>
              </w:rPr>
              <w:t>2. فهم المبادئ الأساسية اللازمة لتشغيل الأعمال التجارية</w:t>
            </w:r>
          </w:p>
          <w:p w:rsidR="0054035A" w:rsidRPr="0054035A" w:rsidRDefault="0054035A" w:rsidP="0054035A">
            <w:pPr>
              <w:bidi/>
              <w:rPr>
                <w:rFonts w:hint="cs"/>
                <w:rtl/>
              </w:rPr>
            </w:pPr>
            <w:r w:rsidRPr="0054035A">
              <w:rPr>
                <w:rFonts w:hint="cs"/>
                <w:rtl/>
              </w:rPr>
              <w:t>3. يمكن تطبيق مفاهيم التسويق ووظائفه واستراتيجيات التسويق التطبيقي في اقتراحه</w:t>
            </w:r>
          </w:p>
          <w:p w:rsidR="0054035A" w:rsidRPr="0054035A" w:rsidRDefault="0054035A" w:rsidP="0054035A">
            <w:pPr>
              <w:bidi/>
              <w:rPr>
                <w:rFonts w:hint="cs"/>
                <w:rtl/>
              </w:rPr>
            </w:pPr>
            <w:r w:rsidRPr="0054035A">
              <w:rPr>
                <w:rFonts w:hint="cs"/>
                <w:rtl/>
              </w:rPr>
              <w:t>4. توظيف أساسيات إدارة الأعمال ، بما في ذلك التخطيط ، ورفع رأس المال ، واستخدام الأعمال</w:t>
            </w:r>
          </w:p>
          <w:p w:rsidR="0054035A" w:rsidRPr="0054035A" w:rsidRDefault="0054035A" w:rsidP="0054035A">
            <w:pPr>
              <w:bidi/>
              <w:rPr>
                <w:rFonts w:hint="cs"/>
                <w:rtl/>
              </w:rPr>
            </w:pPr>
            <w:r w:rsidRPr="0054035A">
              <w:rPr>
                <w:rFonts w:hint="cs"/>
                <w:rtl/>
              </w:rPr>
              <w:t>5. أن تكون قادرة على كتابة خطة العمل</w:t>
            </w:r>
          </w:p>
          <w:p w:rsidR="0054035A" w:rsidRPr="0054035A" w:rsidRDefault="0054035A" w:rsidP="0054035A">
            <w:pPr>
              <w:bidi/>
              <w:rPr>
                <w:rFonts w:hint="cs"/>
                <w:rtl/>
              </w:rPr>
            </w:pPr>
            <w:r w:rsidRPr="0054035A">
              <w:rPr>
                <w:rFonts w:hint="cs"/>
                <w:rtl/>
              </w:rPr>
              <w:t>6. أن تكون قادرة على اختيار مشروع الكتابة.</w:t>
            </w:r>
          </w:p>
          <w:p w:rsidR="0054035A" w:rsidRPr="0054035A" w:rsidRDefault="0054035A" w:rsidP="0054035A">
            <w:pPr>
              <w:bidi/>
            </w:pPr>
            <w:r w:rsidRPr="0054035A">
              <w:rPr>
                <w:rFonts w:hint="cs"/>
                <w:rtl/>
              </w:rPr>
              <w:t xml:space="preserve">7. معرفة وكالات التمويل الرئيسية في الأردن مثل صندوق وزارة التخطيط والتنمية والتشغيل </w:t>
            </w:r>
          </w:p>
          <w:p w:rsidR="005E72FE" w:rsidRPr="0054035A" w:rsidRDefault="005E72FE" w:rsidP="00E02A14">
            <w:pPr>
              <w:pStyle w:val="ps1Char"/>
              <w:ind w:left="720"/>
              <w:rPr>
                <w:sz w:val="22"/>
                <w:szCs w:val="22"/>
                <w:rtl/>
                <w:lang w:val="en-US"/>
              </w:rPr>
            </w:pPr>
          </w:p>
        </w:tc>
      </w:tr>
    </w:tbl>
    <w:p w:rsidR="00C757F4" w:rsidRPr="005D2E73" w:rsidRDefault="00C757F4" w:rsidP="005D2E73">
      <w:pPr>
        <w:pStyle w:val="ps2"/>
        <w:bidi/>
        <w:spacing w:before="0" w:after="0" w:line="276" w:lineRule="auto"/>
        <w:rPr>
          <w:rFonts w:ascii="Cambria" w:hAnsi="Cambria"/>
          <w:sz w:val="22"/>
          <w:szCs w:val="22"/>
        </w:rPr>
      </w:pPr>
    </w:p>
    <w:p w:rsidR="005E72FE" w:rsidRPr="005D2E73" w:rsidRDefault="003B332E" w:rsidP="005D2E73">
      <w:pPr>
        <w:pStyle w:val="ps2"/>
        <w:bidi/>
        <w:spacing w:before="0" w:after="120" w:line="276" w:lineRule="auto"/>
        <w:rPr>
          <w:rFonts w:ascii="Simplified Arabic" w:hAnsi="Simplified Arabic" w:cs="Simplified Arabic"/>
          <w:sz w:val="22"/>
          <w:szCs w:val="22"/>
          <w:rtl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20</w:t>
      </w:r>
      <w:r w:rsidR="00BE1A4D" w:rsidRPr="005D2E73">
        <w:rPr>
          <w:rFonts w:ascii="Simplified Arabic" w:hAnsi="Simplified Arabic" w:cs="Simplified Arabic"/>
          <w:sz w:val="22"/>
          <w:szCs w:val="22"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5D2E7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="00B24A22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="00B24A22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bidiVisual/>
        <w:tblW w:w="9923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405"/>
        <w:gridCol w:w="1394"/>
        <w:gridCol w:w="2336"/>
      </w:tblGrid>
      <w:tr w:rsidR="005E72FE" w:rsidRPr="005D2E73" w:rsidTr="00F72F99">
        <w:tc>
          <w:tcPr>
            <w:tcW w:w="4788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D2E73">
              <w:rPr>
                <w:rFonts w:ascii="Arial Narrow" w:hAnsi="Arial Narrow"/>
                <w:b/>
                <w:bCs/>
                <w:color w:val="auto"/>
                <w:sz w:val="22"/>
                <w:szCs w:val="22"/>
                <w:rtl/>
                <w:lang w:eastAsia="en-US" w:bidi="ar-SA"/>
              </w:rPr>
              <w:t>المحتوى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الأسبوع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نتاجات التعلّم المتحققة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أساليب التقييم</w:t>
            </w: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التعريف بالمادة واستعراض أهدافها وتوزيع الخطة الدراسية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الأول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</w:rPr>
              <w:t>-----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</w:rPr>
              <w:t>-----</w:t>
            </w: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B818FA" w:rsidP="0054035A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D2E73">
              <w:rPr>
                <w:rStyle w:val="Emphasi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 xml:space="preserve">مفاهيم ومصطلحات أساسية </w:t>
            </w:r>
            <w:r w:rsidR="0054035A">
              <w:rPr>
                <w:rStyle w:val="Emphasis"/>
                <w:rFonts w:hint="c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>في الادارة والمشاريع الصغيرة</w:t>
            </w:r>
          </w:p>
          <w:p w:rsidR="005E72FE" w:rsidRPr="005D2E73" w:rsidRDefault="005E72FE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720" w:hanging="36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الثاني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4035A" w:rsidRDefault="0054035A" w:rsidP="0054035A">
            <w:pPr>
              <w:keepNext/>
              <w:tabs>
                <w:tab w:val="left" w:pos="0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28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انواع المشاريع الصغيرة ومراحلها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الثالث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033CA1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54035A" w:rsidP="005D2E73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ريادة الاعمال</w:t>
            </w:r>
          </w:p>
          <w:p w:rsidR="005E72FE" w:rsidRPr="005D2E73" w:rsidRDefault="005E72FE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الرابع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rPr>
          <w:trHeight w:val="1574"/>
        </w:trPr>
        <w:tc>
          <w:tcPr>
            <w:tcW w:w="4788" w:type="dxa"/>
            <w:shd w:val="clear" w:color="auto" w:fill="auto"/>
          </w:tcPr>
          <w:p w:rsidR="00836817" w:rsidRPr="005D2E73" w:rsidRDefault="0054035A" w:rsidP="005D2E73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من الفكرة الى المشروع</w:t>
            </w:r>
          </w:p>
          <w:p w:rsidR="00CC054D" w:rsidRPr="005D2E73" w:rsidRDefault="00CC054D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108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الخامس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C054D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4، 6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0699B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 w:rsidR="00937BB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 w:rsidR="00937BB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rPr>
          <w:trHeight w:val="2231"/>
        </w:trPr>
        <w:tc>
          <w:tcPr>
            <w:tcW w:w="4788" w:type="dxa"/>
            <w:shd w:val="clear" w:color="auto" w:fill="auto"/>
          </w:tcPr>
          <w:p w:rsidR="00836817" w:rsidRPr="005D2E73" w:rsidRDefault="0054035A" w:rsidP="005D2E7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lastRenderedPageBreak/>
              <w:t>التمويل وانواعة ومصادرة</w:t>
            </w:r>
          </w:p>
          <w:p w:rsidR="00937BBA" w:rsidRPr="005D2E73" w:rsidRDefault="00937BBA" w:rsidP="0054035A">
            <w:pPr>
              <w:keepNext/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720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السادس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CC054D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DB104E" w:rsidP="0054035A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  <w:t>2</w:t>
            </w:r>
            <w:r w:rsidR="00937BBA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  <w:r w:rsidR="0054035A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الدراسة السوقية</w:t>
            </w:r>
          </w:p>
          <w:p w:rsidR="00CC054D" w:rsidRPr="005D2E73" w:rsidRDefault="00CC054D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36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C054D" w:rsidRPr="005D2E73" w:rsidRDefault="00DB104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السابع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C054D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CC054D" w:rsidRPr="005D2E73" w:rsidRDefault="00CC054D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54035A" w:rsidP="00BE4362">
            <w:pPr>
              <w:keepNext/>
              <w:numPr>
                <w:ilvl w:val="0"/>
                <w:numId w:val="10"/>
              </w:numPr>
              <w:tabs>
                <w:tab w:val="left" w:pos="247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دراسة الجدوى الاقتصادية</w:t>
            </w:r>
          </w:p>
          <w:p w:rsidR="004002D4" w:rsidRPr="00937BBA" w:rsidRDefault="004002D4" w:rsidP="0054035A">
            <w:pPr>
              <w:keepNext/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172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الثامن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4002D4" w:rsidP="00BE4362">
            <w:pPr>
              <w:keepNext/>
              <w:numPr>
                <w:ilvl w:val="0"/>
                <w:numId w:val="10"/>
              </w:numPr>
              <w:tabs>
                <w:tab w:val="left" w:pos="247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  <w:t>4</w:t>
            </w:r>
            <w:r w:rsidR="0054035A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دراسة الجدوى الاقتصادية</w:t>
            </w:r>
          </w:p>
          <w:p w:rsidR="005E72FE" w:rsidRPr="005D2E73" w:rsidRDefault="005E72FE" w:rsidP="0054035A">
            <w:pPr>
              <w:keepNext/>
              <w:tabs>
                <w:tab w:val="left" w:pos="313"/>
                <w:tab w:val="left" w:pos="1022"/>
                <w:tab w:val="left" w:pos="1728"/>
                <w:tab w:val="left" w:pos="2304"/>
              </w:tabs>
              <w:bidi/>
              <w:spacing w:line="276" w:lineRule="auto"/>
              <w:ind w:left="388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التاسع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5D2E73" w:rsidRDefault="0054035A" w:rsidP="005D2E73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اعداد خطة العمل</w:t>
            </w:r>
          </w:p>
          <w:p w:rsidR="00937BBA" w:rsidRPr="005D2E73" w:rsidRDefault="00937BBA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900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العاشر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5D2E73" w:rsidRDefault="0054035A" w:rsidP="00BE4362">
            <w:pPr>
              <w:pStyle w:val="ps1numbered"/>
              <w:numPr>
                <w:ilvl w:val="0"/>
                <w:numId w:val="11"/>
              </w:numPr>
              <w:tabs>
                <w:tab w:val="clear" w:pos="576"/>
                <w:tab w:val="left" w:pos="305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عوامل السوق والتسعير</w:t>
            </w:r>
          </w:p>
          <w:p w:rsidR="00937BBA" w:rsidRPr="005D2E73" w:rsidRDefault="00937BBA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163"/>
              </w:tabs>
              <w:ind w:left="36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الحادي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E867CE" w:rsidP="00BE4362">
            <w:pPr>
              <w:pStyle w:val="ps1numbered"/>
              <w:numPr>
                <w:ilvl w:val="0"/>
                <w:numId w:val="11"/>
              </w:numPr>
              <w:tabs>
                <w:tab w:val="clear" w:pos="576"/>
                <w:tab w:val="left" w:pos="305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تحليل مالي للمشروع</w:t>
            </w:r>
          </w:p>
          <w:p w:rsidR="009747B0" w:rsidRPr="005D2E73" w:rsidRDefault="009747B0" w:rsidP="00E867CE">
            <w:pPr>
              <w:keepNext/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45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الثاني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6و7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، 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A200FC" w:rsidRPr="005D2E73" w:rsidTr="00F72F99">
        <w:tc>
          <w:tcPr>
            <w:tcW w:w="4788" w:type="dxa"/>
            <w:shd w:val="clear" w:color="auto" w:fill="auto"/>
          </w:tcPr>
          <w:p w:rsidR="00A200FC" w:rsidRPr="005D2E73" w:rsidRDefault="00E867CE" w:rsidP="00BE4362">
            <w:pPr>
              <w:pStyle w:val="ps1numbered"/>
              <w:numPr>
                <w:ilvl w:val="0"/>
                <w:numId w:val="12"/>
              </w:numPr>
              <w:tabs>
                <w:tab w:val="clear" w:pos="576"/>
                <w:tab w:val="left" w:pos="305"/>
              </w:tabs>
              <w:ind w:hanging="720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عرض المشاريع</w:t>
            </w:r>
          </w:p>
          <w:p w:rsidR="00C36375" w:rsidRPr="005D2E73" w:rsidRDefault="00C36375" w:rsidP="00E867CE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72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A200FC" w:rsidRPr="005D2E73" w:rsidRDefault="00A200FC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الثالث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200FC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A200FC" w:rsidRPr="005D2E73" w:rsidRDefault="00A200FC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E867CE" w:rsidP="005D2E73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عرض المشاريع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الرابع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7B266D" w:rsidRPr="005D2E73" w:rsidRDefault="009360B0" w:rsidP="005D2E73">
      <w:pPr>
        <w:pStyle w:val="ps2"/>
        <w:bidi/>
        <w:spacing w:before="24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21</w:t>
      </w:r>
      <w:r w:rsidR="00BE1A4D" w:rsidRPr="005D2E73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2D0E1D" w:rsidRPr="005D2E73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992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23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9923" w:type="dxa"/>
          </w:tcPr>
          <w:p w:rsidR="002346F7" w:rsidRPr="005D2E73" w:rsidRDefault="00B24A22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rFonts w:hint="cs"/>
                <w:sz w:val="22"/>
                <w:szCs w:val="22"/>
                <w:rtl/>
              </w:rPr>
              <w:t>يتم</w:t>
            </w:r>
            <w:r w:rsidR="00FC74DA" w:rsidRPr="005D2E73">
              <w:rPr>
                <w:rFonts w:hint="cs"/>
                <w:sz w:val="22"/>
                <w:szCs w:val="22"/>
                <w:rtl/>
              </w:rPr>
              <w:t xml:space="preserve"> تطوير نتاجات التعلم المستهدفة من خلال </w:t>
            </w:r>
            <w:r w:rsidR="002D0E1D" w:rsidRPr="005D2E73">
              <w:rPr>
                <w:rFonts w:hint="cs"/>
                <w:sz w:val="22"/>
                <w:szCs w:val="22"/>
                <w:rtl/>
              </w:rPr>
              <w:t>النشاطات والاستراتيجيات التدريسية</w:t>
            </w:r>
            <w:r w:rsidR="00FC74DA" w:rsidRPr="005D2E73">
              <w:rPr>
                <w:rFonts w:hint="cs"/>
                <w:sz w:val="22"/>
                <w:szCs w:val="22"/>
                <w:rtl/>
              </w:rPr>
              <w:t xml:space="preserve"> التالية:</w:t>
            </w:r>
          </w:p>
          <w:p w:rsidR="008F7AD4" w:rsidRPr="005D2E73" w:rsidRDefault="008F7AD4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ال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/>
              </w:rPr>
              <w:t>محاضرة</w:t>
            </w:r>
          </w:p>
          <w:p w:rsidR="008F7AD4" w:rsidRPr="005D2E73" w:rsidRDefault="008F7AD4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/>
              </w:rPr>
              <w:t>التدريبات الجماعية</w:t>
            </w:r>
          </w:p>
          <w:p w:rsidR="008F7AD4" w:rsidRPr="005D2E73" w:rsidRDefault="00C36375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الواجبات</w:t>
            </w:r>
          </w:p>
        </w:tc>
      </w:tr>
    </w:tbl>
    <w:p w:rsidR="005D2E73" w:rsidRDefault="005D2E73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  <w:rtl/>
        </w:rPr>
      </w:pPr>
    </w:p>
    <w:p w:rsidR="00955553" w:rsidRPr="005D2E73" w:rsidRDefault="005D2E73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>
        <w:rPr>
          <w:rFonts w:ascii="Simplified Arabic" w:hAnsi="Simplified Arabic" w:cs="Simplified Arabic" w:hint="cs"/>
          <w:sz w:val="22"/>
          <w:szCs w:val="22"/>
          <w:rtl/>
        </w:rPr>
        <w:lastRenderedPageBreak/>
        <w:t>22</w:t>
      </w:r>
      <w:r w:rsidR="00BE1A4D" w:rsidRPr="005D2E73">
        <w:rPr>
          <w:rFonts w:ascii="Simplified Arabic" w:hAnsi="Simplified Arabic" w:cs="Simplified Arabic"/>
          <w:sz w:val="22"/>
          <w:szCs w:val="22"/>
          <w:rtl/>
        </w:rPr>
        <w:t>.</w:t>
      </w:r>
      <w:r w:rsidR="00FC74DA"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5D2E73">
        <w:rPr>
          <w:rFonts w:ascii="Simplified Arabic" w:hAnsi="Simplified Arabic" w:cs="Simplified Arabic"/>
          <w:sz w:val="22"/>
          <w:szCs w:val="22"/>
          <w:rtl/>
        </w:rPr>
        <w:t>أساليب</w:t>
      </w:r>
      <w:r w:rsidR="00FC74DA" w:rsidRPr="005D2E73">
        <w:rPr>
          <w:rFonts w:ascii="Simplified Arabic" w:hAnsi="Simplified Arabic" w:cs="Simplified Arabic"/>
          <w:sz w:val="22"/>
          <w:szCs w:val="22"/>
          <w:rtl/>
        </w:rPr>
        <w:t xml:space="preserve"> التقييم ومتطلبات المادة</w:t>
      </w:r>
    </w:p>
    <w:tbl>
      <w:tblPr>
        <w:tblW w:w="1006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836992" w:rsidRPr="005D2E73" w:rsidRDefault="00B24A22" w:rsidP="005D2E7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  <w:lang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يتم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إثبات </w:t>
            </w:r>
            <w:r w:rsidR="00862D56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تحقق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نتاجات التعلم</w:t>
            </w:r>
            <w:r w:rsidR="00862D56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المستهدفة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</w:t>
            </w:r>
            <w:r w:rsidR="00A12E46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من 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خلال </w:t>
            </w:r>
            <w:r w:rsidR="00B4064D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أساليب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التقييم والمتطلبات التالية:</w:t>
            </w:r>
          </w:p>
          <w:tbl>
            <w:tblPr>
              <w:bidiVisual/>
              <w:tblW w:w="0" w:type="auto"/>
              <w:tblLayout w:type="fixed"/>
              <w:tblLook w:val="04A0"/>
            </w:tblPr>
            <w:tblGrid>
              <w:gridCol w:w="2703"/>
              <w:gridCol w:w="2970"/>
            </w:tblGrid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 xml:space="preserve">اختبار منتصف الفصل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30%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E867CE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المشروع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E867CE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30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 xml:space="preserve">الاختبار النهائي        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E867CE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4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المجموع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100%</w:t>
                  </w:r>
                </w:p>
              </w:tc>
            </w:tr>
          </w:tbl>
          <w:p w:rsidR="00214A83" w:rsidRPr="005D2E73" w:rsidRDefault="00214A83" w:rsidP="005D2E7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lang/>
              </w:rPr>
            </w:pPr>
          </w:p>
        </w:tc>
      </w:tr>
    </w:tbl>
    <w:p w:rsidR="00B143AC" w:rsidRPr="005D2E73" w:rsidRDefault="004A4D28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</w:rPr>
        <w:t>23.</w:t>
      </w:r>
      <w:r w:rsidR="007D1F60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2D0E1D" w:rsidRPr="005D2E73">
        <w:rPr>
          <w:rFonts w:ascii="Simplified Arabic" w:hAnsi="Simplified Arabic" w:cs="Simplified Arabic" w:hint="cs"/>
          <w:sz w:val="22"/>
          <w:szCs w:val="22"/>
          <w:rtl/>
        </w:rPr>
        <w:t>السياسات المتبعة بالمادة</w:t>
      </w:r>
    </w:p>
    <w:tbl>
      <w:tblPr>
        <w:tblW w:w="10065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- سياسة الحضور</w:t>
            </w:r>
            <w:r w:rsidR="00B24A22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والغياب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يجب على الطالب حضور جميع المحاضرات لهذا المساق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الطالب الذي يتجاوز نسبة الغياب المسموحة في الجامعة، بما يعادل 7غيابات، سيتم التنسيب بحرمانه من المساق، ويمنع من التقدم إلى الإمتحان النهائي للمادة، وتكون علامته في</w:t>
            </w:r>
            <w:r w:rsidR="005F6042"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هذا المساق هي الصفر الجامعي (ه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)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في الحالة المذكورة أعلاه، إذا تقدم الطالب بعذر مرضي رسمي مختوم من عيادة الطلبة يبرر غياباته على نحو يجده عميد الكلية الآثار والسياحة مقنعا</w:t>
            </w:r>
            <w:r w:rsidR="005F6042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ً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، حينها فقط يعد الطالب منسحبا من المادة وتظهر كلمة منسحب إلى جوار إسمه في تقرير العلامات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D565B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لا يسمح للطلبة بالتأخر عن موعد بدء المحاضرة، وإذا حصل ذلك لا يسمح له بحضور تلك المحاضرة ويسجل غائبا في ذلك اليوم.</w:t>
            </w:r>
          </w:p>
          <w:p w:rsidR="001F7E43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ب</w:t>
            </w:r>
            <w:r w:rsidR="00A12E46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-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الغياب عن الامتحان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ات وتسليم الواجبات في 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الوقت المحدد</w:t>
            </w:r>
          </w:p>
          <w:p w:rsidR="001D565B" w:rsidRPr="005D2E73" w:rsidRDefault="00E24EE8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أ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ن التغيب عن الامتحانات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أو الفشل في تقديم المشروع البحثي في تاريخة المتفق علية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بدون عذر موثق يقبله مدرس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المادة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و/أو عميد الكلية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يؤدي إلى نزول ع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لامة ذلك 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الامتحان صفرا. أما إذا قبل عذر الطالب فيعمل له امتحان مكمل يحدد تاريخه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مسبقاً.</w:t>
            </w:r>
          </w:p>
          <w:p w:rsidR="004A4D28" w:rsidRPr="005D2E73" w:rsidRDefault="007D1F60" w:rsidP="00074602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ج- </w:t>
            </w:r>
            <w:r w:rsidR="00B24A22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إجراءات السلامة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والصحة</w:t>
            </w:r>
          </w:p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د-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الغش والخروج عن النظام الصفي</w:t>
            </w:r>
          </w:p>
          <w:p w:rsidR="001D565B" w:rsidRPr="005D2E73" w:rsidRDefault="004A4D28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إن المشاركة في ارتكاب الغش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أو الخروج عن النظام الصفي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ستؤدي إلى تنفيذ العقوبات المنصوص عليها في تعليمات الجامعة الأردنية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.</w:t>
            </w:r>
          </w:p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ه-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إعطاء الدرجات</w:t>
            </w:r>
          </w:p>
          <w:p w:rsidR="001D565B" w:rsidRPr="005D2E73" w:rsidRDefault="001F7E43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علامة (د) هي الحد الأدنى للنجاح في هذا المساق. </w:t>
            </w:r>
          </w:p>
          <w:p w:rsidR="002346F7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و- الخدمات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المتوفرة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ب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الجامعة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و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التي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تسهم في دراسة المادة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 w:bidi="ar-JO"/>
              </w:rPr>
              <w:t>ا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لتقنيات السمعية والبصرية ووسائل العرض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قواعد البيانات والمجلات العلمية الإلكترونية والإنترنت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مصادر وكتب مكتبة الجامعة الأردنية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كتاب المساق </w:t>
            </w:r>
          </w:p>
        </w:tc>
      </w:tr>
    </w:tbl>
    <w:p w:rsidR="0040730C" w:rsidRPr="005D2E73" w:rsidRDefault="007D1F60" w:rsidP="005D2E73">
      <w:pPr>
        <w:pStyle w:val="ps2"/>
        <w:bidi/>
        <w:spacing w:before="240" w:after="120" w:line="276" w:lineRule="auto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24</w:t>
      </w:r>
      <w:r w:rsidR="00BE1A4D" w:rsidRPr="005D2E73">
        <w:rPr>
          <w:rFonts w:ascii="Simplified Arabic" w:hAnsi="Simplified Arabic" w:cs="Simplified Arabic"/>
          <w:sz w:val="22"/>
          <w:szCs w:val="22"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40730C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="0040730C" w:rsidRPr="005D2E73">
        <w:rPr>
          <w:rFonts w:ascii="Simplified Arabic" w:hAnsi="Simplified Arabic" w:cs="Simplified Arabic" w:hint="cs"/>
          <w:bCs w:val="0"/>
          <w:sz w:val="22"/>
          <w:szCs w:val="22"/>
          <w:rtl/>
        </w:rPr>
        <w:t>(المرافق، المعدات، الأجهزة، البرمجيات، المختبرات، المشاغل، اماكن التدريب)</w:t>
      </w:r>
    </w:p>
    <w:tbl>
      <w:tblPr>
        <w:tblW w:w="10065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065" w:type="dxa"/>
            <w:tcBorders>
              <w:bottom w:val="single" w:sz="4" w:space="0" w:color="auto"/>
            </w:tcBorders>
          </w:tcPr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eastAsia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>المعينات السمعية والبصرية</w:t>
            </w:r>
          </w:p>
          <w:p w:rsidR="00A462D0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>مو</w:t>
            </w:r>
            <w:r w:rsidR="00E26E31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eastAsia="en-US"/>
              </w:rPr>
              <w:t>ا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 xml:space="preserve">قع التعلم الألكتروني لكل عضو هيئة تدريس </w:t>
            </w:r>
          </w:p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 xml:space="preserve">مواقع الألكترونية ذات الصلة بالسياحة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eastAsia="en-US"/>
              </w:rPr>
              <w:t>محلياً وعالمياً</w:t>
            </w:r>
          </w:p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lastRenderedPageBreak/>
              <w:t xml:space="preserve">زيارات ميدانية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eastAsia="en-US"/>
              </w:rPr>
              <w:t>ل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>مقومات الجذب السياحي في الإردن حيثما أمكن</w:t>
            </w:r>
          </w:p>
        </w:tc>
      </w:tr>
    </w:tbl>
    <w:p w:rsidR="001D565B" w:rsidRPr="005D2E73" w:rsidRDefault="001D565B" w:rsidP="005D2E73">
      <w:pPr>
        <w:bidi/>
        <w:spacing w:line="276" w:lineRule="auto"/>
        <w:rPr>
          <w:sz w:val="22"/>
          <w:szCs w:val="22"/>
          <w:lang/>
        </w:rPr>
      </w:pPr>
    </w:p>
    <w:p w:rsidR="00EC794D" w:rsidRPr="005D2E73" w:rsidRDefault="007D1F60" w:rsidP="005D2E73">
      <w:pPr>
        <w:pStyle w:val="Heading7"/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u w:val="none"/>
        </w:rPr>
      </w:pPr>
      <w:r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25</w:t>
      </w:r>
      <w:r w:rsidR="00BE1A4D" w:rsidRPr="005D2E73">
        <w:rPr>
          <w:rFonts w:ascii="Simplified Arabic" w:hAnsi="Simplified Arabic" w:cs="Simplified Arabic"/>
          <w:b/>
          <w:bCs/>
          <w:sz w:val="22"/>
          <w:szCs w:val="22"/>
          <w:u w:val="none"/>
        </w:rPr>
        <w:t>.</w:t>
      </w:r>
      <w:r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 المراجع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EC794D" w:rsidRPr="005D2E73" w:rsidTr="009077FE">
        <w:trPr>
          <w:trHeight w:val="6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CE" w:rsidRPr="00E867CE" w:rsidRDefault="009A539D" w:rsidP="00E867CE">
            <w:pPr>
              <w:tabs>
                <w:tab w:val="left" w:pos="1686"/>
              </w:tabs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1. </w:t>
            </w:r>
            <w:r w:rsidR="008F7AD4" w:rsidRPr="005D2E7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المراجع الرئيسيه</w:t>
            </w:r>
            <w:r w:rsidR="008F7AD4" w:rsidRPr="00E867CE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:</w:t>
            </w:r>
            <w:r w:rsidR="00E867CE" w:rsidRPr="00E867CE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</w:p>
          <w:p w:rsidR="00E867CE" w:rsidRPr="00E867CE" w:rsidRDefault="00E867CE" w:rsidP="00E867CE">
            <w:pPr>
              <w:tabs>
                <w:tab w:val="left" w:pos="1686"/>
              </w:tabs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E867CE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Steven D. Strauss, The Small Business Bible: Everything You Need to Know to Succeed in Your Small Business Paperback – March 27, 2012, http://bookboon.com/en/accounting-ebooks</w:t>
            </w:r>
            <w:r w:rsidRPr="00E867CE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</w:p>
          <w:p w:rsidR="005D2E73" w:rsidRPr="00643C55" w:rsidRDefault="005D2E73" w:rsidP="00BE4362">
            <w:pPr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B143AC" w:rsidRPr="005D2E73" w:rsidRDefault="00E52A8A" w:rsidP="005D2E73">
      <w:pPr>
        <w:pStyle w:val="ps2"/>
        <w:bidi/>
        <w:spacing w:before="240" w:after="120" w:line="276" w:lineRule="auto"/>
        <w:rPr>
          <w:rFonts w:ascii="Simplified Arabic" w:hAnsi="Simplified Arabic" w:cs="Simplified Arabic"/>
          <w:b w:val="0"/>
          <w:bCs w:val="0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</w:rPr>
        <w:t>26.</w:t>
      </w:r>
      <w:r w:rsidR="00A12E46" w:rsidRPr="005D2E73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978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781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F06879" w:rsidRPr="005D2E73" w:rsidRDefault="009D57B5" w:rsidP="005D2E73">
            <w:pPr>
              <w:bidi/>
              <w:spacing w:line="276" w:lineRule="auto"/>
              <w:rPr>
                <w:sz w:val="22"/>
                <w:szCs w:val="22"/>
                <w:lang w:bidi="ar-JO"/>
              </w:rPr>
            </w:pPr>
            <w:r w:rsidRPr="005D2E73">
              <w:rPr>
                <w:rFonts w:hint="cs"/>
                <w:sz w:val="22"/>
                <w:szCs w:val="22"/>
                <w:rtl/>
                <w:lang w:bidi="ar-JO"/>
              </w:rPr>
              <w:t>لا يوجد</w:t>
            </w:r>
          </w:p>
        </w:tc>
      </w:tr>
    </w:tbl>
    <w:p w:rsidR="00E3123F" w:rsidRPr="005D2E73" w:rsidRDefault="00E3123F" w:rsidP="005D2E73">
      <w:pPr>
        <w:bidi/>
        <w:spacing w:line="276" w:lineRule="auto"/>
        <w:rPr>
          <w:rFonts w:ascii="Simplified Arabic" w:hAnsi="Simplified Arabic" w:cs="Simplified Arabic"/>
          <w:sz w:val="22"/>
          <w:szCs w:val="22"/>
          <w:rtl/>
          <w:lang w:val="en-US"/>
        </w:rPr>
      </w:pPr>
    </w:p>
    <w:p w:rsidR="00E3123F" w:rsidRPr="005D2E73" w:rsidRDefault="00E3123F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</w:p>
    <w:p w:rsidR="005D2E73" w:rsidRDefault="00CF081D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منسق المادة: </w:t>
      </w:r>
      <w:r w:rsidR="00C36375" w:rsidRPr="00C36375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/>
        </w:rPr>
        <w:t>د. اسماعيل ابوعامود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 </w:t>
      </w:r>
      <w:r w:rsidR="00E3123F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التوقيع: ----------------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الت</w:t>
      </w:r>
      <w:r w:rsidR="00A462D0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اريخ: ------------------</w:t>
      </w:r>
    </w:p>
    <w:p w:rsidR="00A12E46" w:rsidRPr="005D2E73" w:rsidRDefault="00B24A22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="00CF081D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---------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-----------</w:t>
      </w:r>
    </w:p>
    <w:p w:rsidR="00C36375" w:rsidRDefault="00A12E46" w:rsidP="00C36375">
      <w:pPr>
        <w:bidi/>
        <w:rPr>
          <w:rFonts w:ascii="Simplified Arabic" w:hAnsi="Simplified Arabic" w:cs="Simplified Arabic" w:hint="cs"/>
          <w:sz w:val="22"/>
          <w:szCs w:val="22"/>
          <w:rtl/>
          <w:lang w:val="en-US"/>
        </w:rPr>
      </w:pP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----------------</w:t>
      </w: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="00C36375">
        <w:rPr>
          <w:rFonts w:ascii="Simplified Arabic" w:hAnsi="Simplified Arabic" w:cs="Simplified Arabic"/>
          <w:sz w:val="22"/>
          <w:szCs w:val="22"/>
          <w:lang w:val="en-US"/>
        </w:rPr>
        <w:t>-----</w:t>
      </w:r>
    </w:p>
    <w:p w:rsidR="00A12E46" w:rsidRPr="005D2E73" w:rsidRDefault="00B24A22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---------------------------</w:t>
      </w:r>
    </w:p>
    <w:p w:rsidR="00A12E46" w:rsidRPr="005D2E73" w:rsidRDefault="00A12E46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5D2E73">
        <w:rPr>
          <w:rFonts w:ascii="Simplified Arabic" w:hAnsi="Simplified Arabic" w:cs="Simplified Arabic"/>
          <w:sz w:val="22"/>
          <w:szCs w:val="22"/>
          <w:lang w:val="en-US"/>
        </w:rPr>
        <w:t>--------------------------</w:t>
      </w:r>
    </w:p>
    <w:sectPr w:rsidR="00A12E46" w:rsidRPr="005D2E73" w:rsidSect="00CF081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62" w:rsidRDefault="00BE4362">
      <w:r>
        <w:separator/>
      </w:r>
    </w:p>
  </w:endnote>
  <w:endnote w:type="continuationSeparator" w:id="0">
    <w:p w:rsidR="00BE4362" w:rsidRDefault="00BE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332B9A" w:rsidRDefault="00332B9A" w:rsidP="00C93248">
    <w:pPr>
      <w:pStyle w:val="Footer"/>
      <w:jc w:val="right"/>
    </w:pPr>
    <w:fldSimple w:instr=" PAGE   \* MERGEFORMAT ">
      <w:r w:rsidR="00E867CE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D" w:rsidRDefault="00CF081D">
    <w:pPr>
      <w:pStyle w:val="Footer"/>
      <w:jc w:val="right"/>
    </w:pPr>
    <w:fldSimple w:instr=" PAGE   \* MERGEFORMAT ">
      <w:r w:rsidR="00E867CE">
        <w:rPr>
          <w:noProof/>
        </w:rPr>
        <w:t>1</w:t>
      </w:r>
    </w:fldSimple>
  </w:p>
  <w:p w:rsidR="00CF081D" w:rsidRDefault="00CF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62" w:rsidRDefault="00BE4362">
      <w:r>
        <w:separator/>
      </w:r>
    </w:p>
  </w:footnote>
  <w:footnote w:type="continuationSeparator" w:id="0">
    <w:p w:rsidR="00BE4362" w:rsidRDefault="00BE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 w:rsidR="00A75C88"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 w:rsidR="00596E06">
      <w:rPr>
        <w:rFonts w:ascii="Times New Roman" w:hAnsi="Times New Roman" w:cs="Arial" w:hint="cs"/>
        <w:rtl/>
      </w:rPr>
      <w:t>مخطط الماد</w:t>
    </w:r>
    <w:r w:rsidR="00A75C88">
      <w:rPr>
        <w:rFonts w:ascii="Times New Roman" w:hAnsi="Times New Roman" w:cs="Arial" w:hint="cs"/>
        <w:rtl/>
      </w:rPr>
      <w:t>ة</w:t>
    </w:r>
    <w:r w:rsidR="00596E06"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                      </w:t>
    </w:r>
    <w:r w:rsidR="00A75C88">
      <w:rPr>
        <w:rFonts w:ascii="Times New Roman" w:hAnsi="Times New Roman" w:cs="Arial" w:hint="cs"/>
        <w:rtl/>
      </w:rPr>
      <w:t>الجامعة الأردنية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C7" w:rsidRDefault="00C36375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-1356360</wp:posOffset>
          </wp:positionV>
          <wp:extent cx="1066800" cy="556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5935345</wp:posOffset>
          </wp:positionH>
          <wp:positionV relativeFrom="margin">
            <wp:posOffset>-1356360</wp:posOffset>
          </wp:positionV>
          <wp:extent cx="504825" cy="571500"/>
          <wp:effectExtent l="1905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5225C7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مركز 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 w:rsidR="00987E8A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B10FA"/>
    <w:multiLevelType w:val="hybridMultilevel"/>
    <w:tmpl w:val="EFC4E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2E71"/>
    <w:multiLevelType w:val="hybridMultilevel"/>
    <w:tmpl w:val="A066E99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686B"/>
    <w:multiLevelType w:val="hybridMultilevel"/>
    <w:tmpl w:val="21C6F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4F78"/>
    <w:multiLevelType w:val="hybridMultilevel"/>
    <w:tmpl w:val="EA7AD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B7573"/>
    <w:multiLevelType w:val="hybridMultilevel"/>
    <w:tmpl w:val="292CC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422193"/>
    <w:multiLevelType w:val="hybridMultilevel"/>
    <w:tmpl w:val="B6B4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32950"/>
    <w:multiLevelType w:val="hybridMultilevel"/>
    <w:tmpl w:val="8D72F35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8D088E"/>
    <w:multiLevelType w:val="hybridMultilevel"/>
    <w:tmpl w:val="875C503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8F64E5E"/>
    <w:multiLevelType w:val="hybridMultilevel"/>
    <w:tmpl w:val="53D81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86227"/>
    <w:multiLevelType w:val="hybridMultilevel"/>
    <w:tmpl w:val="0A9AF54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5792A"/>
    <w:multiLevelType w:val="hybridMultilevel"/>
    <w:tmpl w:val="AA2E2970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16DA"/>
    <w:rsid w:val="00002718"/>
    <w:rsid w:val="00002735"/>
    <w:rsid w:val="00004C72"/>
    <w:rsid w:val="000165F1"/>
    <w:rsid w:val="00016899"/>
    <w:rsid w:val="000177B5"/>
    <w:rsid w:val="0002388B"/>
    <w:rsid w:val="00024732"/>
    <w:rsid w:val="00033392"/>
    <w:rsid w:val="00033CA1"/>
    <w:rsid w:val="00035167"/>
    <w:rsid w:val="00045D0D"/>
    <w:rsid w:val="00047D5D"/>
    <w:rsid w:val="00067406"/>
    <w:rsid w:val="000700F3"/>
    <w:rsid w:val="00074602"/>
    <w:rsid w:val="00075035"/>
    <w:rsid w:val="000C17DB"/>
    <w:rsid w:val="000C47AB"/>
    <w:rsid w:val="000E10C1"/>
    <w:rsid w:val="000E3706"/>
    <w:rsid w:val="000F6AE2"/>
    <w:rsid w:val="00100132"/>
    <w:rsid w:val="00102C68"/>
    <w:rsid w:val="001077F2"/>
    <w:rsid w:val="001128D9"/>
    <w:rsid w:val="001143B0"/>
    <w:rsid w:val="00114E3C"/>
    <w:rsid w:val="00121183"/>
    <w:rsid w:val="0012294E"/>
    <w:rsid w:val="00125673"/>
    <w:rsid w:val="00142D4D"/>
    <w:rsid w:val="00144561"/>
    <w:rsid w:val="00146065"/>
    <w:rsid w:val="00147137"/>
    <w:rsid w:val="00150244"/>
    <w:rsid w:val="00150C7F"/>
    <w:rsid w:val="001539BC"/>
    <w:rsid w:val="001562AA"/>
    <w:rsid w:val="0016615A"/>
    <w:rsid w:val="00167E95"/>
    <w:rsid w:val="001711B8"/>
    <w:rsid w:val="00172634"/>
    <w:rsid w:val="001731B3"/>
    <w:rsid w:val="00180392"/>
    <w:rsid w:val="001820D1"/>
    <w:rsid w:val="00186C8E"/>
    <w:rsid w:val="001934D6"/>
    <w:rsid w:val="001A333D"/>
    <w:rsid w:val="001A551C"/>
    <w:rsid w:val="001D565B"/>
    <w:rsid w:val="001D5714"/>
    <w:rsid w:val="001E45AD"/>
    <w:rsid w:val="001F1E38"/>
    <w:rsid w:val="001F26BA"/>
    <w:rsid w:val="001F31EA"/>
    <w:rsid w:val="001F605E"/>
    <w:rsid w:val="001F7E43"/>
    <w:rsid w:val="00201381"/>
    <w:rsid w:val="002024A0"/>
    <w:rsid w:val="002026E9"/>
    <w:rsid w:val="002125A3"/>
    <w:rsid w:val="00212B07"/>
    <w:rsid w:val="00214A83"/>
    <w:rsid w:val="00222009"/>
    <w:rsid w:val="00223A00"/>
    <w:rsid w:val="0023297C"/>
    <w:rsid w:val="002346F7"/>
    <w:rsid w:val="002364C4"/>
    <w:rsid w:val="002445EA"/>
    <w:rsid w:val="00265C69"/>
    <w:rsid w:val="00266E80"/>
    <w:rsid w:val="002824AC"/>
    <w:rsid w:val="00291693"/>
    <w:rsid w:val="002A27C9"/>
    <w:rsid w:val="002A5C1E"/>
    <w:rsid w:val="002B3E9C"/>
    <w:rsid w:val="002D0E1D"/>
    <w:rsid w:val="002E07E7"/>
    <w:rsid w:val="002E4A18"/>
    <w:rsid w:val="002E6AB6"/>
    <w:rsid w:val="00310A24"/>
    <w:rsid w:val="00312629"/>
    <w:rsid w:val="00313C48"/>
    <w:rsid w:val="00314838"/>
    <w:rsid w:val="003173A1"/>
    <w:rsid w:val="003259AF"/>
    <w:rsid w:val="00327A0D"/>
    <w:rsid w:val="00332B9A"/>
    <w:rsid w:val="0033559A"/>
    <w:rsid w:val="00340AF1"/>
    <w:rsid w:val="003411E7"/>
    <w:rsid w:val="003475D0"/>
    <w:rsid w:val="00352ADA"/>
    <w:rsid w:val="003572F3"/>
    <w:rsid w:val="00373DBE"/>
    <w:rsid w:val="00373FBD"/>
    <w:rsid w:val="003760B3"/>
    <w:rsid w:val="00377114"/>
    <w:rsid w:val="00382671"/>
    <w:rsid w:val="0038311E"/>
    <w:rsid w:val="003843EA"/>
    <w:rsid w:val="0039617E"/>
    <w:rsid w:val="003B332E"/>
    <w:rsid w:val="003E1014"/>
    <w:rsid w:val="003F2C7B"/>
    <w:rsid w:val="0040020F"/>
    <w:rsid w:val="004002D4"/>
    <w:rsid w:val="0040165E"/>
    <w:rsid w:val="0040730C"/>
    <w:rsid w:val="00417600"/>
    <w:rsid w:val="004202C0"/>
    <w:rsid w:val="00420B90"/>
    <w:rsid w:val="0042205B"/>
    <w:rsid w:val="00422A24"/>
    <w:rsid w:val="00423952"/>
    <w:rsid w:val="00423C58"/>
    <w:rsid w:val="004319E2"/>
    <w:rsid w:val="004342E5"/>
    <w:rsid w:val="00451008"/>
    <w:rsid w:val="00453BFA"/>
    <w:rsid w:val="004832DA"/>
    <w:rsid w:val="00496DA5"/>
    <w:rsid w:val="004A2E60"/>
    <w:rsid w:val="004A3140"/>
    <w:rsid w:val="004A4D28"/>
    <w:rsid w:val="004A63E8"/>
    <w:rsid w:val="004A707E"/>
    <w:rsid w:val="004B5C8D"/>
    <w:rsid w:val="004B7681"/>
    <w:rsid w:val="004C39CD"/>
    <w:rsid w:val="004D40C5"/>
    <w:rsid w:val="004F4700"/>
    <w:rsid w:val="004F493F"/>
    <w:rsid w:val="00505016"/>
    <w:rsid w:val="00506050"/>
    <w:rsid w:val="005142DD"/>
    <w:rsid w:val="00515C46"/>
    <w:rsid w:val="005225C7"/>
    <w:rsid w:val="005303D7"/>
    <w:rsid w:val="00534081"/>
    <w:rsid w:val="0054035A"/>
    <w:rsid w:val="005472E9"/>
    <w:rsid w:val="00556B3F"/>
    <w:rsid w:val="00562EB5"/>
    <w:rsid w:val="005673C0"/>
    <w:rsid w:val="00570202"/>
    <w:rsid w:val="00572F9A"/>
    <w:rsid w:val="00583F44"/>
    <w:rsid w:val="00585E23"/>
    <w:rsid w:val="005867A1"/>
    <w:rsid w:val="00592640"/>
    <w:rsid w:val="00596E06"/>
    <w:rsid w:val="005B1749"/>
    <w:rsid w:val="005C0BF7"/>
    <w:rsid w:val="005C1F34"/>
    <w:rsid w:val="005D2E73"/>
    <w:rsid w:val="005D62B7"/>
    <w:rsid w:val="005E72FE"/>
    <w:rsid w:val="005F6042"/>
    <w:rsid w:val="00610319"/>
    <w:rsid w:val="00616DF2"/>
    <w:rsid w:val="00620096"/>
    <w:rsid w:val="00625256"/>
    <w:rsid w:val="00627DDC"/>
    <w:rsid w:val="006365D6"/>
    <w:rsid w:val="00643C55"/>
    <w:rsid w:val="006457F7"/>
    <w:rsid w:val="0064628C"/>
    <w:rsid w:val="00666969"/>
    <w:rsid w:val="00671D3D"/>
    <w:rsid w:val="00671F00"/>
    <w:rsid w:val="0067568D"/>
    <w:rsid w:val="00676685"/>
    <w:rsid w:val="00683A68"/>
    <w:rsid w:val="00693873"/>
    <w:rsid w:val="00695379"/>
    <w:rsid w:val="006A5EFA"/>
    <w:rsid w:val="006A612F"/>
    <w:rsid w:val="006B022D"/>
    <w:rsid w:val="006B2D5A"/>
    <w:rsid w:val="006C2C6F"/>
    <w:rsid w:val="006C668C"/>
    <w:rsid w:val="006C7F10"/>
    <w:rsid w:val="006F70C6"/>
    <w:rsid w:val="006F7D3E"/>
    <w:rsid w:val="00713707"/>
    <w:rsid w:val="00715328"/>
    <w:rsid w:val="00716835"/>
    <w:rsid w:val="00723D23"/>
    <w:rsid w:val="007265EC"/>
    <w:rsid w:val="0075066C"/>
    <w:rsid w:val="0075627D"/>
    <w:rsid w:val="00756EC9"/>
    <w:rsid w:val="00761E80"/>
    <w:rsid w:val="007637BC"/>
    <w:rsid w:val="007643B7"/>
    <w:rsid w:val="0076698E"/>
    <w:rsid w:val="00766C21"/>
    <w:rsid w:val="00775228"/>
    <w:rsid w:val="007843D8"/>
    <w:rsid w:val="00793BB2"/>
    <w:rsid w:val="007957AA"/>
    <w:rsid w:val="00797D4D"/>
    <w:rsid w:val="007B266D"/>
    <w:rsid w:val="007B31BF"/>
    <w:rsid w:val="007D05FC"/>
    <w:rsid w:val="007D1F60"/>
    <w:rsid w:val="007D6082"/>
    <w:rsid w:val="007D76F3"/>
    <w:rsid w:val="007E0741"/>
    <w:rsid w:val="007E1C71"/>
    <w:rsid w:val="007E2DD6"/>
    <w:rsid w:val="007E4658"/>
    <w:rsid w:val="007E4B26"/>
    <w:rsid w:val="007F2804"/>
    <w:rsid w:val="007F629D"/>
    <w:rsid w:val="00800C80"/>
    <w:rsid w:val="008016F7"/>
    <w:rsid w:val="00804135"/>
    <w:rsid w:val="008064E2"/>
    <w:rsid w:val="0081060D"/>
    <w:rsid w:val="00824627"/>
    <w:rsid w:val="00832EDA"/>
    <w:rsid w:val="00836817"/>
    <w:rsid w:val="00836992"/>
    <w:rsid w:val="00840524"/>
    <w:rsid w:val="00847D78"/>
    <w:rsid w:val="00852826"/>
    <w:rsid w:val="00857D99"/>
    <w:rsid w:val="00862D56"/>
    <w:rsid w:val="00863535"/>
    <w:rsid w:val="0086372C"/>
    <w:rsid w:val="00870205"/>
    <w:rsid w:val="00873A36"/>
    <w:rsid w:val="00877C02"/>
    <w:rsid w:val="00880DAA"/>
    <w:rsid w:val="008833FE"/>
    <w:rsid w:val="008845C8"/>
    <w:rsid w:val="008845EF"/>
    <w:rsid w:val="00885F86"/>
    <w:rsid w:val="00887DB7"/>
    <w:rsid w:val="00897672"/>
    <w:rsid w:val="008A098F"/>
    <w:rsid w:val="008B05EA"/>
    <w:rsid w:val="008B43FD"/>
    <w:rsid w:val="008D27EF"/>
    <w:rsid w:val="008D2C3F"/>
    <w:rsid w:val="008D5749"/>
    <w:rsid w:val="008E5B2D"/>
    <w:rsid w:val="008E64E7"/>
    <w:rsid w:val="008F1285"/>
    <w:rsid w:val="008F2A28"/>
    <w:rsid w:val="008F32BC"/>
    <w:rsid w:val="008F6EF2"/>
    <w:rsid w:val="008F7791"/>
    <w:rsid w:val="008F7AD4"/>
    <w:rsid w:val="0090452F"/>
    <w:rsid w:val="009077FE"/>
    <w:rsid w:val="00920726"/>
    <w:rsid w:val="00920768"/>
    <w:rsid w:val="009310E1"/>
    <w:rsid w:val="00934132"/>
    <w:rsid w:val="009360B0"/>
    <w:rsid w:val="00937BBA"/>
    <w:rsid w:val="00940575"/>
    <w:rsid w:val="009425B1"/>
    <w:rsid w:val="0095001D"/>
    <w:rsid w:val="00955553"/>
    <w:rsid w:val="00956EC6"/>
    <w:rsid w:val="00960E15"/>
    <w:rsid w:val="00965D7E"/>
    <w:rsid w:val="00972B32"/>
    <w:rsid w:val="009747B0"/>
    <w:rsid w:val="00980C02"/>
    <w:rsid w:val="009824CD"/>
    <w:rsid w:val="00987E8A"/>
    <w:rsid w:val="00990C57"/>
    <w:rsid w:val="00993295"/>
    <w:rsid w:val="00997FE9"/>
    <w:rsid w:val="009A4AD5"/>
    <w:rsid w:val="009A539D"/>
    <w:rsid w:val="009A550F"/>
    <w:rsid w:val="009A7C82"/>
    <w:rsid w:val="009B1CAD"/>
    <w:rsid w:val="009B2B5E"/>
    <w:rsid w:val="009B6777"/>
    <w:rsid w:val="009B6B0A"/>
    <w:rsid w:val="009C6D3F"/>
    <w:rsid w:val="009D57B5"/>
    <w:rsid w:val="009E5872"/>
    <w:rsid w:val="009E6C5C"/>
    <w:rsid w:val="009F3D4E"/>
    <w:rsid w:val="009F7B84"/>
    <w:rsid w:val="00A03E51"/>
    <w:rsid w:val="00A1221B"/>
    <w:rsid w:val="00A12E46"/>
    <w:rsid w:val="00A200FC"/>
    <w:rsid w:val="00A35F60"/>
    <w:rsid w:val="00A42EC1"/>
    <w:rsid w:val="00A45946"/>
    <w:rsid w:val="00A462D0"/>
    <w:rsid w:val="00A47C18"/>
    <w:rsid w:val="00A50BE1"/>
    <w:rsid w:val="00A7356F"/>
    <w:rsid w:val="00A75C88"/>
    <w:rsid w:val="00A765A4"/>
    <w:rsid w:val="00A76B27"/>
    <w:rsid w:val="00A90D1D"/>
    <w:rsid w:val="00AA0293"/>
    <w:rsid w:val="00AD1543"/>
    <w:rsid w:val="00AE41A7"/>
    <w:rsid w:val="00B066F8"/>
    <w:rsid w:val="00B0699B"/>
    <w:rsid w:val="00B10A55"/>
    <w:rsid w:val="00B143AC"/>
    <w:rsid w:val="00B20BF7"/>
    <w:rsid w:val="00B21CAA"/>
    <w:rsid w:val="00B24A22"/>
    <w:rsid w:val="00B31348"/>
    <w:rsid w:val="00B34DA4"/>
    <w:rsid w:val="00B4064D"/>
    <w:rsid w:val="00B42B72"/>
    <w:rsid w:val="00B439C5"/>
    <w:rsid w:val="00B449BC"/>
    <w:rsid w:val="00B51B69"/>
    <w:rsid w:val="00B53C33"/>
    <w:rsid w:val="00B56D20"/>
    <w:rsid w:val="00B5726A"/>
    <w:rsid w:val="00B61CF0"/>
    <w:rsid w:val="00B73160"/>
    <w:rsid w:val="00B81879"/>
    <w:rsid w:val="00B818FA"/>
    <w:rsid w:val="00B83070"/>
    <w:rsid w:val="00B8469B"/>
    <w:rsid w:val="00B9195A"/>
    <w:rsid w:val="00B93C32"/>
    <w:rsid w:val="00BA4504"/>
    <w:rsid w:val="00BA6193"/>
    <w:rsid w:val="00BC0336"/>
    <w:rsid w:val="00BC1FFC"/>
    <w:rsid w:val="00BE1A4D"/>
    <w:rsid w:val="00BE4362"/>
    <w:rsid w:val="00BF3EDA"/>
    <w:rsid w:val="00BF6DE8"/>
    <w:rsid w:val="00BF79CA"/>
    <w:rsid w:val="00C06816"/>
    <w:rsid w:val="00C10AC0"/>
    <w:rsid w:val="00C31757"/>
    <w:rsid w:val="00C32753"/>
    <w:rsid w:val="00C36375"/>
    <w:rsid w:val="00C41E77"/>
    <w:rsid w:val="00C64BCA"/>
    <w:rsid w:val="00C655A6"/>
    <w:rsid w:val="00C67D03"/>
    <w:rsid w:val="00C71459"/>
    <w:rsid w:val="00C7224A"/>
    <w:rsid w:val="00C7231C"/>
    <w:rsid w:val="00C757F4"/>
    <w:rsid w:val="00C87B41"/>
    <w:rsid w:val="00C90687"/>
    <w:rsid w:val="00C93248"/>
    <w:rsid w:val="00C9471D"/>
    <w:rsid w:val="00CC054D"/>
    <w:rsid w:val="00CC4F1F"/>
    <w:rsid w:val="00CD09CE"/>
    <w:rsid w:val="00CD6024"/>
    <w:rsid w:val="00CD60E5"/>
    <w:rsid w:val="00CD6B52"/>
    <w:rsid w:val="00CD70EC"/>
    <w:rsid w:val="00CF060B"/>
    <w:rsid w:val="00CF081D"/>
    <w:rsid w:val="00CF4B5C"/>
    <w:rsid w:val="00CF711E"/>
    <w:rsid w:val="00D012E8"/>
    <w:rsid w:val="00D05C7C"/>
    <w:rsid w:val="00D11748"/>
    <w:rsid w:val="00D17BCC"/>
    <w:rsid w:val="00D22571"/>
    <w:rsid w:val="00D252DC"/>
    <w:rsid w:val="00D43B2C"/>
    <w:rsid w:val="00D605E8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86923"/>
    <w:rsid w:val="00D928AB"/>
    <w:rsid w:val="00D92C1B"/>
    <w:rsid w:val="00D963DC"/>
    <w:rsid w:val="00DA4469"/>
    <w:rsid w:val="00DB104E"/>
    <w:rsid w:val="00DD25CD"/>
    <w:rsid w:val="00DE6FD6"/>
    <w:rsid w:val="00DE7CB2"/>
    <w:rsid w:val="00DF368A"/>
    <w:rsid w:val="00DF44A2"/>
    <w:rsid w:val="00E00F98"/>
    <w:rsid w:val="00E02A14"/>
    <w:rsid w:val="00E033CD"/>
    <w:rsid w:val="00E15C93"/>
    <w:rsid w:val="00E20D36"/>
    <w:rsid w:val="00E24EE8"/>
    <w:rsid w:val="00E26E31"/>
    <w:rsid w:val="00E3123F"/>
    <w:rsid w:val="00E40BA7"/>
    <w:rsid w:val="00E473AD"/>
    <w:rsid w:val="00E52A8A"/>
    <w:rsid w:val="00E546E1"/>
    <w:rsid w:val="00E55E19"/>
    <w:rsid w:val="00E60297"/>
    <w:rsid w:val="00E60635"/>
    <w:rsid w:val="00E61341"/>
    <w:rsid w:val="00E64CEE"/>
    <w:rsid w:val="00E73622"/>
    <w:rsid w:val="00E744B8"/>
    <w:rsid w:val="00E85850"/>
    <w:rsid w:val="00E867CE"/>
    <w:rsid w:val="00E87470"/>
    <w:rsid w:val="00E92AFA"/>
    <w:rsid w:val="00E949E2"/>
    <w:rsid w:val="00E9554A"/>
    <w:rsid w:val="00E979F9"/>
    <w:rsid w:val="00EA4756"/>
    <w:rsid w:val="00EB348D"/>
    <w:rsid w:val="00EC0C0B"/>
    <w:rsid w:val="00EC2745"/>
    <w:rsid w:val="00EC4F4D"/>
    <w:rsid w:val="00EC794D"/>
    <w:rsid w:val="00EC7DAD"/>
    <w:rsid w:val="00EC7ED7"/>
    <w:rsid w:val="00ED2558"/>
    <w:rsid w:val="00ED6E63"/>
    <w:rsid w:val="00EE6BEC"/>
    <w:rsid w:val="00F06879"/>
    <w:rsid w:val="00F1101D"/>
    <w:rsid w:val="00F20A05"/>
    <w:rsid w:val="00F2346E"/>
    <w:rsid w:val="00F248B9"/>
    <w:rsid w:val="00F24D05"/>
    <w:rsid w:val="00F27A71"/>
    <w:rsid w:val="00F373E6"/>
    <w:rsid w:val="00F4025D"/>
    <w:rsid w:val="00F50625"/>
    <w:rsid w:val="00F51120"/>
    <w:rsid w:val="00F57F5A"/>
    <w:rsid w:val="00F61D34"/>
    <w:rsid w:val="00F65973"/>
    <w:rsid w:val="00F70BB1"/>
    <w:rsid w:val="00F72F99"/>
    <w:rsid w:val="00FA0BC3"/>
    <w:rsid w:val="00FB1662"/>
    <w:rsid w:val="00FC5969"/>
    <w:rsid w:val="00FC74DA"/>
    <w:rsid w:val="00FD1006"/>
    <w:rsid w:val="00FD3188"/>
    <w:rsid w:val="00FE23DB"/>
    <w:rsid w:val="00FF374A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/>
    </w:rPr>
  </w:style>
  <w:style w:type="character" w:default="1" w:styleId="DefaultParagraphFont">
    <w:name w:val="Default Paragraph Font"/>
    <w:semiHidden/>
    <w:rsid w:val="00756A0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6A03"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BodyText2">
    <w:name w:val="Body Text 2"/>
    <w:basedOn w:val="Normal"/>
    <w:link w:val="BodyText2Char"/>
    <w:rPr>
      <w:sz w:val="24"/>
      <w:lang/>
    </w:rPr>
  </w:style>
  <w:style w:type="paragraph" w:styleId="BodyText3">
    <w:name w:val="Body Text 3"/>
    <w:basedOn w:val="Normal"/>
    <w:link w:val="BodyText3Char"/>
    <w:rPr>
      <w:i/>
      <w:sz w:val="24"/>
      <w:lang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114E3C"/>
    <w:pPr>
      <w:keepNext/>
      <w:tabs>
        <w:tab w:val="left" w:pos="576"/>
        <w:tab w:val="left" w:pos="1152"/>
        <w:tab w:val="left" w:pos="1728"/>
        <w:tab w:val="left" w:pos="2304"/>
      </w:tabs>
      <w:bidi/>
      <w:spacing w:line="276" w:lineRule="auto"/>
      <w:jc w:val="both"/>
    </w:pPr>
    <w:rPr>
      <w:rFonts w:ascii="Simplified Arabic" w:hAnsi="Simplified Arabic" w:cs="Simplified Arabic"/>
      <w:color w:val="000000"/>
      <w:sz w:val="24"/>
      <w:lang w:bidi="ar-JO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114E3C"/>
    <w:rPr>
      <w:rFonts w:ascii="Simplified Arabic" w:hAnsi="Simplified Arabic" w:cs="Simplified Arabic"/>
      <w:color w:val="000000"/>
      <w:sz w:val="24"/>
      <w:szCs w:val="24"/>
      <w:lang w:val="en-GB" w:bidi="ar-JO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E979F9"/>
    <w:rPr>
      <w:i/>
      <w:iCs/>
    </w:rPr>
  </w:style>
  <w:style w:type="character" w:customStyle="1" w:styleId="st">
    <w:name w:val="st"/>
    <w:rsid w:val="00FE23DB"/>
  </w:style>
  <w:style w:type="paragraph" w:styleId="HTMLPreformatted">
    <w:name w:val="HTML Preformatted"/>
    <w:basedOn w:val="Normal"/>
    <w:link w:val="HTMLPreformattedChar"/>
    <w:uiPriority w:val="99"/>
    <w:unhideWhenUsed/>
    <w:rsid w:val="00B4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9BC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54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7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564">
                          <w:marLeft w:val="0"/>
                          <w:marRight w:val="10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.abuamoud@ju.edu.j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.okaily@ju.edu.j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7cf9b22c1c8b8c8fbbf39682e07e0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b68727a609b8a62d15c76c15f964fa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مخطط المادة الدراسية</FormType>
    <_dlc_DocId xmlns="4c854669-c37d-4e1c-9895-ff9cd39da670">CJCARFC42DW7-3-841</_dlc_DocId>
    <_dlc_DocIdUrl xmlns="4c854669-c37d-4e1c-9895-ff9cd39da670">
      <Url>http://sites.ju.edu.jo/ar/pqmc/_layouts/DocIdRedir.aspx?ID=CJCARFC42DW7-3-841</Url>
      <Description>CJCARFC42DW7-3-841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BCFC38-9ECF-4D18-B238-483F8363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796D93-E8A9-42E8-A61C-EB01710702FF}">
  <ds:schemaRefs>
    <ds:schemaRef ds:uri="http://schemas.microsoft.com/office/2006/metadata/properties"/>
    <ds:schemaRef ds:uri="45804768-7f68-44ad-8493-733ff8c0415e"/>
  </ds:schemaRefs>
</ds:datastoreItem>
</file>

<file path=customXml/itemProps6.xml><?xml version="1.0" encoding="utf-8"?>
<ds:datastoreItem xmlns:ds="http://schemas.openxmlformats.org/officeDocument/2006/customXml" ds:itemID="{F26B3BD6-D263-4591-9AB8-519C22CA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6107</CharactersWithSpaces>
  <SharedDoc>false</SharedDoc>
  <HLinks>
    <vt:vector size="54" baseType="variant">
      <vt:variant>
        <vt:i4>5111830</vt:i4>
      </vt:variant>
      <vt:variant>
        <vt:i4>24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http://cf.cdn.unwto.org/sites/all/files/docpdf/gcetbrochureglobalcodear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https://aljouharh.files.wordpress.com/2012/06/travel.pdf</vt:lpwstr>
      </vt:variant>
      <vt:variant>
        <vt:lpwstr/>
      </vt:variant>
      <vt:variant>
        <vt:i4>4259942</vt:i4>
      </vt:variant>
      <vt:variant>
        <vt:i4>15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4259942</vt:i4>
      </vt:variant>
      <vt:variant>
        <vt:i4>12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4259942</vt:i4>
      </vt:variant>
      <vt:variant>
        <vt:i4>9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mailto:m.allan@ju.edu.jo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mailto:z.rawadieh@ju.edu.jo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mailto:n.okaily@ju.edu.jo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creator>Jeannette Downing</dc:creator>
  <cp:lastModifiedBy>Owner</cp:lastModifiedBy>
  <cp:revision>2</cp:revision>
  <cp:lastPrinted>2019-06-12T11:04:00Z</cp:lastPrinted>
  <dcterms:created xsi:type="dcterms:W3CDTF">2020-02-24T18:57:00Z</dcterms:created>
  <dcterms:modified xsi:type="dcterms:W3CDTF">2020-02-24T18:57:00Z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CJCARFC42DW7-3-841</vt:lpwstr>
  </property>
  <property fmtid="{D5CDD505-2E9C-101B-9397-08002B2CF9AE}" pid="3" name="_dlc_DocIdItemGuid">
    <vt:lpwstr>29ed3d94-c27f-4012-a178-6d741edddee1</vt:lpwstr>
  </property>
  <property fmtid="{D5CDD505-2E9C-101B-9397-08002B2CF9AE}" pid="4" name="_dlc_DocIdUrl">
    <vt:lpwstr>http://sites.ju.edu.jo/ar/pqmc/_layouts/DocIdRedir.aspx?ID=CJCARFC42DW7-3-841, CJCARFC42DW7-3-841</vt:lpwstr>
  </property>
</Properties>
</file>